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Приложение №1: Спецификация на выполнение работ по вывозу, утилизации, обезвреживанию отходов.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</w:pPr>
      <w:r>
        <w:rPr>
          <w:b/>
          <w:sz w:val="21"/>
          <w:szCs w:val="21"/>
          <w:highlight w:val="none"/>
        </w:rPr>
      </w:r>
      <w:r>
        <w:rPr>
          <w:b/>
          <w:sz w:val="21"/>
          <w:szCs w:val="21"/>
          <w:highlight w:val="none"/>
        </w:rPr>
      </w:r>
      <w:r/>
    </w:p>
    <w:p>
      <w:pPr>
        <w:pStyle w:val="837"/>
        <w:jc w:val="center"/>
        <w:rPr>
          <w:b/>
          <w:bCs/>
          <w:sz w:val="21"/>
          <w:szCs w:val="21"/>
          <w:highlight w:val="none"/>
        </w:rPr>
      </w:pPr>
      <w:r>
        <w:rPr>
          <w:b/>
          <w:sz w:val="21"/>
          <w:szCs w:val="21"/>
        </w:rPr>
        <w:t xml:space="preserve">Спецификация </w:t>
      </w:r>
      <w:r>
        <w:rPr>
          <w:b/>
          <w:bCs/>
          <w:sz w:val="21"/>
          <w:szCs w:val="21"/>
          <w:highlight w:val="none"/>
        </w:rPr>
      </w:r>
      <w:r>
        <w:rPr>
          <w:b/>
          <w:bCs/>
          <w:sz w:val="21"/>
          <w:szCs w:val="21"/>
          <w:highlight w:val="none"/>
        </w:rPr>
      </w:r>
    </w:p>
    <w:p>
      <w:pPr>
        <w:pStyle w:val="837"/>
        <w:jc w:val="center"/>
        <w:rPr>
          <w:b/>
          <w:bCs/>
          <w:sz w:val="21"/>
          <w:szCs w:val="21"/>
          <w:highlight w:val="none"/>
        </w:rPr>
      </w:pPr>
      <w:r>
        <w:rPr>
          <w:b/>
          <w:sz w:val="21"/>
          <w:szCs w:val="21"/>
        </w:rPr>
        <w:t xml:space="preserve">на выполнение работ по вывозу, утилизации, обезвреживания </w:t>
      </w:r>
      <w:r>
        <w:rPr>
          <w:b/>
          <w:sz w:val="21"/>
          <w:szCs w:val="21"/>
        </w:rPr>
        <w:t xml:space="preserve">опасных отходов </w:t>
      </w:r>
      <w:r>
        <w:rPr>
          <w:b/>
          <w:bCs/>
          <w:sz w:val="21"/>
          <w:szCs w:val="21"/>
          <w:highlight w:val="none"/>
        </w:rPr>
      </w:r>
      <w:r>
        <w:rPr>
          <w:b/>
          <w:bCs/>
          <w:sz w:val="21"/>
          <w:szCs w:val="21"/>
          <w:highlight w:val="none"/>
        </w:rPr>
      </w:r>
    </w:p>
    <w:p>
      <w:pPr>
        <w:pStyle w:val="837"/>
        <w:jc w:val="center"/>
      </w:pPr>
      <w:r>
        <w:rPr>
          <w:b/>
          <w:sz w:val="21"/>
          <w:szCs w:val="21"/>
          <w:highlight w:val="none"/>
        </w:rPr>
      </w:r>
      <w:r/>
    </w:p>
    <w:tbl>
      <w:tblPr>
        <w:tblW w:w="99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2"/>
        <w:gridCol w:w="1892"/>
        <w:gridCol w:w="2835"/>
        <w:gridCol w:w="1275"/>
      </w:tblGrid>
      <w:tr>
        <w:tblPrEx/>
        <w:trPr>
          <w:jc w:val="center"/>
          <w:trHeight w:val="708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</w:pPr>
            <w:r>
              <w:rPr>
                <w:b/>
                <w:sz w:val="22"/>
                <w:szCs w:val="22"/>
              </w:rPr>
              <w:t xml:space="preserve">№ п</w:t>
            </w:r>
            <w:r>
              <w:rPr>
                <w:b/>
                <w:sz w:val="22"/>
                <w:szCs w:val="22"/>
                <w:lang w:val="en-US"/>
              </w:rPr>
              <w:t xml:space="preserve">/</w:t>
            </w:r>
            <w:r>
              <w:rPr>
                <w:b/>
                <w:sz w:val="22"/>
                <w:szCs w:val="22"/>
              </w:rPr>
              <w:t xml:space="preserve">п</w:t>
            </w:r>
            <w:r/>
          </w:p>
        </w:tc>
        <w:tc>
          <w:tcPr>
            <w:tcW w:w="3342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</w:pPr>
            <w:r>
              <w:rPr>
                <w:b/>
                <w:sz w:val="22"/>
                <w:szCs w:val="22"/>
              </w:rPr>
              <w:t xml:space="preserve">Наименование</w:t>
            </w:r>
            <w:r/>
          </w:p>
        </w:tc>
        <w:tc>
          <w:tcPr>
            <w:tcW w:w="1892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t xml:space="preserve">Код по ФККО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</w:pPr>
            <w:r>
              <w:rPr>
                <w:b/>
                <w:sz w:val="22"/>
                <w:szCs w:val="22"/>
              </w:rPr>
              <w:t xml:space="preserve">Конечный вид деятельности</w:t>
            </w:r>
            <w:r/>
          </w:p>
          <w:p>
            <w:pPr>
              <w:pStyle w:val="837"/>
              <w:jc w:val="center"/>
              <w:tabs>
                <w:tab w:val="left" w:pos="540" w:leader="none"/>
              </w:tabs>
            </w:pPr>
            <w:r>
              <w:rPr>
                <w:b/>
                <w:sz w:val="22"/>
                <w:szCs w:val="22"/>
              </w:rPr>
              <w:t xml:space="preserve">с отходом</w:t>
            </w:r>
            <w:r/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</w:pPr>
            <w:r>
              <w:rPr>
                <w:b/>
                <w:sz w:val="22"/>
                <w:szCs w:val="22"/>
              </w:rPr>
              <w:t xml:space="preserve">Кол-во, тонна</w:t>
            </w:r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  <w:t xml:space="preserve">Отходы минеральных масел моторных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none"/>
                <w:u w:val="none"/>
              </w:rPr>
              <w:t xml:space="preserve">4 06 110 01 31 3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обезвреживание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2,0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</w:rPr>
              <w:t xml:space="preserve">Отходы минеральных масел турбинных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  <w:t xml:space="preserve">4 06 170 01 31 3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обезвреживание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2,0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Всплывшие нефтепродукты из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нефтеловушек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и аналогичных сооружений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4 06 350 01 31 3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обезвреживание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4,0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Осадок механической очистки нефтесодержащих сточных вод, содержащий нефтепродукты в количестве 15% и более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7 23 102 01 39 3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обезвреживание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70,0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Покрышки пневматических шин с металлическим кордом отработанные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9 21 130 02 50 4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утилизация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0,5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Песок,загрязненный нефтью или нефтепродуктами(содержание нефти или нефтепродуктов 15% и более)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9 19 201 01 39 3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обезвреживание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0,5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Обтирочный материал, загрязненный нефтью или нефтепродуктами (содержание нефти или нефтепродуктов  15 % и более)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9 19 204 01 60 3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обезвреживание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2"/>
                <w:u w:val="none"/>
                <w:vertAlign w:val="baseline"/>
              </w:rPr>
              <w:t xml:space="preserve">1,5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Системный блок компьютера, утративший потребительские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4 81 201 01 52 4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утилизация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0,03</w:t>
              <w:br/>
              <w:t xml:space="preserve">(8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left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Принтеры, сканеры, многофункциональные устройства (МФУ), утратившие потребительски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е свойства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4 81 202 01 52 4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утилизация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0,07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(7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Картриджи печатающих устройств с содержанием тонера менее 7 % отработанные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4 81 203 02 52 4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утилизация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0,01 </w:t>
              <w:br/>
              <w:t xml:space="preserve">(10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Клавиатура, манипулятор «мышь» с соединительными проводами, утратившие потребительские свойства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4 81 204 01 52 4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утилизация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pStyle w:val="83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0,004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  <w:p>
            <w:pPr>
              <w:pStyle w:val="837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  <w:t xml:space="preserve">(10 шт.)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8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pStyle w:val="837"/>
              <w:tabs>
                <w:tab w:val="left" w:pos="54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2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tabs>
                <w:tab w:val="left" w:pos="540" w:leader="none"/>
              </w:tabs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80,614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  <w:style w:type="character" w:styleId="836" w:customStyle="1">
    <w:name w:val="комментарий"/>
    <w:rPr>
      <w:b/>
      <w:i/>
      <w:shd w:val="clear" w:color="auto" w:fill="ffff99"/>
    </w:rPr>
  </w:style>
  <w:style w:type="paragraph" w:styleId="837" w:customStyle="1">
    <w:name w:val="Обычный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storozhenko_gm</cp:lastModifiedBy>
  <cp:revision>4</cp:revision>
  <dcterms:modified xsi:type="dcterms:W3CDTF">2026-07-09T01:14:51Z</dcterms:modified>
</cp:coreProperties>
</file>